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28" w:rsidRPr="0066297C" w:rsidRDefault="00580B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SG" w:eastAsia="en-SG" w:bidi="bn-BD"/>
        </w:rPr>
        <w:drawing>
          <wp:inline distT="0" distB="0" distL="0" distR="0">
            <wp:extent cx="12954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Li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A8" w:rsidRPr="0066297C" w:rsidRDefault="0066297C" w:rsidP="006F545A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E6ECEB"/>
        </w:rPr>
      </w:pPr>
      <w:r w:rsidRPr="0066297C">
        <w:rPr>
          <w:rFonts w:ascii="Times New Roman" w:hAnsi="Times New Roman" w:cs="Times New Roman"/>
          <w:b/>
          <w:bCs/>
        </w:rPr>
        <w:t>NAME:</w:t>
      </w:r>
      <w:r w:rsidR="00A33E7E" w:rsidRPr="0066297C">
        <w:rPr>
          <w:rFonts w:ascii="Times New Roman" w:hAnsi="Times New Roman" w:cs="Times New Roman"/>
          <w:b/>
          <w:bCs/>
        </w:rPr>
        <w:t xml:space="preserve"> </w:t>
      </w:r>
      <w:r w:rsidR="002C6B0D">
        <w:rPr>
          <w:rFonts w:ascii="Times New Roman" w:hAnsi="Times New Roman" w:cs="Times New Roman"/>
          <w:bCs/>
        </w:rPr>
        <w:t>Liton Chandra Biswas</w:t>
      </w:r>
    </w:p>
    <w:p w:rsidR="005B5727" w:rsidRPr="0066297C" w:rsidRDefault="005B5727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B5727" w:rsidRPr="0066297C" w:rsidRDefault="0066297C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297C">
        <w:rPr>
          <w:rFonts w:ascii="Times New Roman" w:hAnsi="Times New Roman" w:cs="Times New Roman"/>
          <w:b/>
          <w:bCs/>
        </w:rPr>
        <w:t>DESIGNATION:</w:t>
      </w:r>
      <w:r w:rsidR="00505428" w:rsidRPr="0066297C">
        <w:rPr>
          <w:rFonts w:ascii="Times New Roman" w:hAnsi="Times New Roman" w:cs="Times New Roman"/>
          <w:b/>
          <w:bCs/>
        </w:rPr>
        <w:t xml:space="preserve"> </w:t>
      </w:r>
      <w:r w:rsidR="00021DA9">
        <w:rPr>
          <w:rFonts w:ascii="Times New Roman" w:hAnsi="Times New Roman" w:cs="Times New Roman"/>
          <w:bCs/>
        </w:rPr>
        <w:t>Lecturer A</w:t>
      </w:r>
    </w:p>
    <w:p w:rsidR="00A33E7E" w:rsidRPr="0066297C" w:rsidRDefault="0066297C" w:rsidP="006F545A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E6ECEB"/>
        </w:rPr>
      </w:pPr>
      <w:r w:rsidRPr="0066297C">
        <w:rPr>
          <w:rFonts w:ascii="Times New Roman" w:hAnsi="Times New Roman" w:cs="Times New Roman"/>
          <w:b/>
          <w:bCs/>
        </w:rPr>
        <w:t>QUALIFICATIONS:</w:t>
      </w:r>
      <w:r w:rsidR="00505428" w:rsidRPr="0066297C">
        <w:rPr>
          <w:rFonts w:ascii="Times New Roman" w:hAnsi="Times New Roman" w:cs="Times New Roman"/>
          <w:b/>
          <w:bCs/>
        </w:rPr>
        <w:t xml:space="preserve"> </w:t>
      </w:r>
      <w:r w:rsidR="00021DA9">
        <w:rPr>
          <w:rFonts w:ascii="Times New Roman" w:hAnsi="Times New Roman" w:cs="Times New Roman"/>
          <w:color w:val="000000"/>
          <w:shd w:val="clear" w:color="auto" w:fill="FFFFFF"/>
        </w:rPr>
        <w:t>LLM in International Commercial Law (University of Leicester</w:t>
      </w:r>
      <w:r w:rsidR="00505428" w:rsidRPr="0066297C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:rsidR="005B5727" w:rsidRPr="0066297C" w:rsidRDefault="005B5727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3E7E" w:rsidRPr="00021DA9" w:rsidRDefault="0066297C" w:rsidP="006F545A">
      <w:pPr>
        <w:spacing w:after="0" w:line="240" w:lineRule="auto"/>
        <w:rPr>
          <w:rFonts w:ascii="Times New Roman" w:hAnsi="Times New Roman" w:cs="Times New Roman"/>
        </w:rPr>
      </w:pPr>
      <w:r w:rsidRPr="0066297C">
        <w:rPr>
          <w:rFonts w:ascii="Times New Roman" w:hAnsi="Times New Roman" w:cs="Times New Roman"/>
          <w:b/>
          <w:bCs/>
        </w:rPr>
        <w:t>EMAIL ADDRESS:</w:t>
      </w:r>
      <w:r w:rsidRPr="0066297C">
        <w:rPr>
          <w:rFonts w:ascii="Times New Roman" w:hAnsi="Times New Roman" w:cs="Times New Roman"/>
        </w:rPr>
        <w:t> </w:t>
      </w:r>
      <w:hyperlink r:id="rId6" w:history="1">
        <w:r w:rsidR="00021DA9" w:rsidRPr="00B979BC">
          <w:rPr>
            <w:rStyle w:val="Hyperlink"/>
            <w:rFonts w:ascii="Times New Roman" w:hAnsi="Times New Roman" w:cs="Times New Roman"/>
          </w:rPr>
          <w:t>lcb@iub.edu.bd</w:t>
        </w:r>
      </w:hyperlink>
      <w:r w:rsidR="00021DA9">
        <w:rPr>
          <w:rFonts w:ascii="Times New Roman" w:hAnsi="Times New Roman" w:cs="Times New Roman"/>
        </w:rPr>
        <w:t xml:space="preserve">  </w:t>
      </w:r>
    </w:p>
    <w:p w:rsidR="005B5727" w:rsidRPr="0066297C" w:rsidRDefault="005B5727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3E7E" w:rsidRPr="0066297C" w:rsidRDefault="00E14910" w:rsidP="006F545A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E6ECEB"/>
        </w:rPr>
      </w:pPr>
      <w:r w:rsidRPr="00E14910">
        <w:rPr>
          <w:rFonts w:ascii="Times New Roman" w:hAnsi="Times New Roman" w:cs="Times New Roman"/>
          <w:b/>
          <w:bCs/>
          <w:highlight w:val="yellow"/>
        </w:rPr>
        <w:t>TELEPHONE</w:t>
      </w:r>
      <w:r w:rsidR="0066297C" w:rsidRPr="0066297C">
        <w:rPr>
          <w:rFonts w:ascii="Times New Roman" w:hAnsi="Times New Roman" w:cs="Times New Roman"/>
          <w:b/>
          <w:bCs/>
        </w:rPr>
        <w:t>:</w:t>
      </w:r>
      <w:r w:rsidR="0066297C" w:rsidRPr="0066297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+88 01531200371</w:t>
      </w:r>
    </w:p>
    <w:p w:rsidR="005B5727" w:rsidRPr="0066297C" w:rsidRDefault="005B5727" w:rsidP="006F545A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C336A4" w:rsidRPr="0066297C" w:rsidRDefault="0066297C" w:rsidP="006F54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6297C">
        <w:rPr>
          <w:b/>
          <w:bCs/>
          <w:sz w:val="22"/>
          <w:szCs w:val="22"/>
        </w:rPr>
        <w:t xml:space="preserve">OFFICE ADDRESS: </w:t>
      </w:r>
      <w:r w:rsidR="00C336A4" w:rsidRPr="0066297C">
        <w:rPr>
          <w:color w:val="000000"/>
          <w:sz w:val="22"/>
          <w:szCs w:val="22"/>
          <w:shd w:val="clear" w:color="auto" w:fill="FFFFFF"/>
        </w:rPr>
        <w:t>Department of Law,</w:t>
      </w:r>
      <w:r w:rsidR="00580BE5">
        <w:rPr>
          <w:color w:val="000000"/>
          <w:sz w:val="22"/>
          <w:szCs w:val="22"/>
          <w:shd w:val="clear" w:color="auto" w:fill="FFFFFF"/>
        </w:rPr>
        <w:t xml:space="preserve"> Building C</w:t>
      </w:r>
      <w:r w:rsidR="00904055" w:rsidRPr="0066297C">
        <w:rPr>
          <w:color w:val="000000"/>
          <w:sz w:val="22"/>
          <w:szCs w:val="22"/>
          <w:shd w:val="clear" w:color="auto" w:fill="FFFFFF"/>
        </w:rPr>
        <w:t>,</w:t>
      </w:r>
      <w:r w:rsidR="00C336A4" w:rsidRPr="0066297C">
        <w:rPr>
          <w:color w:val="000000"/>
          <w:sz w:val="22"/>
          <w:szCs w:val="22"/>
          <w:shd w:val="clear" w:color="auto" w:fill="FFFFFF"/>
        </w:rPr>
        <w:t xml:space="preserve"> </w:t>
      </w:r>
      <w:r w:rsidR="00C336A4" w:rsidRPr="0066297C">
        <w:rPr>
          <w:sz w:val="22"/>
          <w:szCs w:val="22"/>
        </w:rPr>
        <w:t>Independent University, Bangladesh (IUB)</w:t>
      </w:r>
    </w:p>
    <w:p w:rsidR="00C336A4" w:rsidRPr="0066297C" w:rsidRDefault="00C336A4" w:rsidP="006F545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6297C">
        <w:rPr>
          <w:sz w:val="22"/>
          <w:szCs w:val="22"/>
        </w:rPr>
        <w:t xml:space="preserve">Plot 16 Block B, </w:t>
      </w:r>
      <w:proofErr w:type="spellStart"/>
      <w:r w:rsidRPr="0066297C">
        <w:rPr>
          <w:sz w:val="22"/>
          <w:szCs w:val="22"/>
        </w:rPr>
        <w:t>Aftabuddin</w:t>
      </w:r>
      <w:proofErr w:type="spellEnd"/>
      <w:r w:rsidRPr="0066297C">
        <w:rPr>
          <w:sz w:val="22"/>
          <w:szCs w:val="22"/>
        </w:rPr>
        <w:t xml:space="preserve"> Ahmed </w:t>
      </w:r>
      <w:proofErr w:type="gramStart"/>
      <w:r w:rsidRPr="0066297C">
        <w:rPr>
          <w:sz w:val="22"/>
          <w:szCs w:val="22"/>
        </w:rPr>
        <w:t xml:space="preserve">Road,  </w:t>
      </w:r>
      <w:proofErr w:type="spellStart"/>
      <w:r w:rsidRPr="0066297C">
        <w:rPr>
          <w:sz w:val="22"/>
          <w:szCs w:val="22"/>
        </w:rPr>
        <w:t>Bas</w:t>
      </w:r>
      <w:r w:rsidR="00580BE5">
        <w:rPr>
          <w:sz w:val="22"/>
          <w:szCs w:val="22"/>
        </w:rPr>
        <w:t>hundhara</w:t>
      </w:r>
      <w:proofErr w:type="spellEnd"/>
      <w:proofErr w:type="gramEnd"/>
      <w:r w:rsidR="00580BE5">
        <w:rPr>
          <w:sz w:val="22"/>
          <w:szCs w:val="22"/>
        </w:rPr>
        <w:t xml:space="preserve"> R/A, Dhaka, Bangladesh </w:t>
      </w:r>
      <w:r w:rsidR="00580BE5" w:rsidRPr="00E14910">
        <w:rPr>
          <w:sz w:val="22"/>
          <w:szCs w:val="22"/>
          <w:highlight w:val="yellow"/>
        </w:rPr>
        <w:t>- 1229</w:t>
      </w:r>
    </w:p>
    <w:p w:rsidR="005B5727" w:rsidRPr="0066297C" w:rsidRDefault="005B5727" w:rsidP="006F545A">
      <w:pPr>
        <w:pStyle w:val="Dates"/>
        <w:spacing w:before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B5727" w:rsidRPr="0066297C" w:rsidRDefault="0066297C" w:rsidP="006F545A">
      <w:pPr>
        <w:pStyle w:val="Dates"/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66297C">
        <w:rPr>
          <w:rFonts w:ascii="Times New Roman" w:hAnsi="Times New Roman"/>
          <w:b/>
          <w:bCs/>
          <w:sz w:val="22"/>
          <w:szCs w:val="22"/>
        </w:rPr>
        <w:t>RESEARCH INTERESTS:</w:t>
      </w:r>
      <w:r w:rsidR="0075085B">
        <w:rPr>
          <w:rFonts w:ascii="Times New Roman" w:hAnsi="Times New Roman"/>
          <w:b/>
          <w:bCs/>
          <w:sz w:val="22"/>
          <w:szCs w:val="22"/>
          <w:shd w:val="clear" w:color="auto" w:fill="E6ECEB"/>
        </w:rPr>
        <w:t xml:space="preserve"> </w:t>
      </w:r>
      <w:r w:rsidR="00EA64AB">
        <w:rPr>
          <w:rFonts w:ascii="Times New Roman" w:hAnsi="Times New Roman"/>
          <w:sz w:val="22"/>
          <w:szCs w:val="22"/>
          <w:lang w:val="en-GB"/>
        </w:rPr>
        <w:t xml:space="preserve">Legal Philosophy, </w:t>
      </w:r>
      <w:r w:rsidR="000B5910">
        <w:rPr>
          <w:rFonts w:ascii="Times New Roman" w:hAnsi="Times New Roman"/>
          <w:sz w:val="22"/>
          <w:szCs w:val="22"/>
          <w:lang w:val="en-GB"/>
        </w:rPr>
        <w:t>Commercial Law, Health Law, Human body &amp; Law</w:t>
      </w:r>
      <w:r w:rsidR="005B5727" w:rsidRPr="0066297C">
        <w:rPr>
          <w:rFonts w:ascii="Times New Roman" w:hAnsi="Times New Roman"/>
          <w:sz w:val="22"/>
          <w:szCs w:val="22"/>
          <w:lang w:val="en-GB"/>
        </w:rPr>
        <w:t>.</w:t>
      </w:r>
    </w:p>
    <w:p w:rsidR="005B5727" w:rsidRPr="0066297C" w:rsidRDefault="005B5727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3E7E" w:rsidRPr="0066297C" w:rsidRDefault="00580BE5" w:rsidP="006F545A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E6ECEB"/>
        </w:rPr>
      </w:pPr>
      <w:r>
        <w:rPr>
          <w:rFonts w:ascii="Times New Roman" w:hAnsi="Times New Roman" w:cs="Times New Roman"/>
          <w:b/>
          <w:bCs/>
        </w:rPr>
        <w:t xml:space="preserve">SUBJECTS TAUGHT: </w:t>
      </w:r>
      <w:r w:rsidR="00EA64AB">
        <w:rPr>
          <w:rFonts w:ascii="Times New Roman" w:hAnsi="Times New Roman" w:cs="Times New Roman"/>
        </w:rPr>
        <w:t xml:space="preserve">Legal History, Banking &amp; Bankruptcy Law, Mercantile Law, Legal Philosophy, Fiscal Law. </w:t>
      </w:r>
    </w:p>
    <w:p w:rsidR="005B5727" w:rsidRPr="0066297C" w:rsidRDefault="005B5727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4840" w:rsidRPr="00484FED" w:rsidRDefault="0066297C" w:rsidP="006F545A">
      <w:pPr>
        <w:spacing w:after="0" w:line="240" w:lineRule="auto"/>
        <w:jc w:val="both"/>
        <w:rPr>
          <w:rFonts w:ascii="Calibri" w:hAnsi="Calibri" w:cs="Calibri"/>
        </w:rPr>
      </w:pPr>
      <w:r w:rsidRPr="0066297C">
        <w:rPr>
          <w:rFonts w:ascii="Times New Roman" w:hAnsi="Times New Roman" w:cs="Times New Roman"/>
          <w:b/>
          <w:bCs/>
        </w:rPr>
        <w:t xml:space="preserve">BRIEF BIODATA: </w:t>
      </w:r>
      <w:r w:rsidR="00484FED">
        <w:rPr>
          <w:rFonts w:ascii="Times New Roman" w:hAnsi="Times New Roman" w:cs="Times New Roman"/>
        </w:rPr>
        <w:t xml:space="preserve">Liton Chandra Biswas has completed LLB (Hons) from Stamford University Bangladesh securing the highest CGPA (3.90) in his batch. Then he went to pursue LLM degree in International Commercial Law </w:t>
      </w:r>
      <w:r w:rsidR="002C3FB6">
        <w:rPr>
          <w:rFonts w:ascii="Times New Roman" w:hAnsi="Times New Roman" w:cs="Times New Roman"/>
        </w:rPr>
        <w:t xml:space="preserve">at the University of Leicester where he has been awarded with the postgraduate degree with Distinction. </w:t>
      </w:r>
      <w:r w:rsidR="00DE230F">
        <w:rPr>
          <w:rFonts w:ascii="Times New Roman" w:hAnsi="Times New Roman" w:cs="Times New Roman"/>
        </w:rPr>
        <w:t xml:space="preserve">On his return to Bangladesh in 2012, he joined Stamford University Bangladesh as Lecturer of Law. After serving 9 months he joined Southeast University as a Lecturer of Law. </w:t>
      </w:r>
      <w:r w:rsidR="002B2BF6">
        <w:rPr>
          <w:rFonts w:ascii="Times New Roman" w:hAnsi="Times New Roman" w:cs="Times New Roman"/>
        </w:rPr>
        <w:t>On the 1</w:t>
      </w:r>
      <w:r w:rsidR="002B2BF6" w:rsidRPr="002B2BF6">
        <w:rPr>
          <w:rFonts w:ascii="Times New Roman" w:hAnsi="Times New Roman" w:cs="Times New Roman"/>
          <w:vertAlign w:val="superscript"/>
        </w:rPr>
        <w:t>st</w:t>
      </w:r>
      <w:r w:rsidR="002B2BF6">
        <w:rPr>
          <w:rFonts w:ascii="Times New Roman" w:hAnsi="Times New Roman" w:cs="Times New Roman"/>
        </w:rPr>
        <w:t xml:space="preserve"> July 2014 he joined the newly opened Department of Law at Independent University Bangladesh as Lecturer B and</w:t>
      </w:r>
      <w:r w:rsidR="006834DF">
        <w:rPr>
          <w:rFonts w:ascii="Times New Roman" w:hAnsi="Times New Roman" w:cs="Times New Roman"/>
        </w:rPr>
        <w:t xml:space="preserve"> on July 1</w:t>
      </w:r>
      <w:r w:rsidR="006834DF" w:rsidRPr="006834DF">
        <w:rPr>
          <w:rFonts w:ascii="Times New Roman" w:hAnsi="Times New Roman" w:cs="Times New Roman"/>
          <w:vertAlign w:val="superscript"/>
        </w:rPr>
        <w:t>st</w:t>
      </w:r>
      <w:r w:rsidR="006834DF">
        <w:rPr>
          <w:rFonts w:ascii="Times New Roman" w:hAnsi="Times New Roman" w:cs="Times New Roman"/>
        </w:rPr>
        <w:t xml:space="preserve"> 2019</w:t>
      </w:r>
      <w:r w:rsidR="002B2BF6">
        <w:rPr>
          <w:rFonts w:ascii="Times New Roman" w:hAnsi="Times New Roman" w:cs="Times New Roman"/>
        </w:rPr>
        <w:t xml:space="preserve"> </w:t>
      </w:r>
      <w:r w:rsidR="006834DF">
        <w:rPr>
          <w:rFonts w:ascii="Times New Roman" w:hAnsi="Times New Roman" w:cs="Times New Roman"/>
        </w:rPr>
        <w:t>he has been promoted to the position of Lecturer A.</w:t>
      </w:r>
      <w:r w:rsidR="00B4132F">
        <w:rPr>
          <w:rFonts w:ascii="Times New Roman" w:hAnsi="Times New Roman" w:cs="Times New Roman"/>
        </w:rPr>
        <w:t xml:space="preserve"> During his academic career he has been extensively involved in legal research. He has published his research outcome in different national and international peer reviewed journals and forums. </w:t>
      </w:r>
      <w:r w:rsidR="00CB6293">
        <w:rPr>
          <w:rFonts w:ascii="Times New Roman" w:hAnsi="Times New Roman" w:cs="Times New Roman"/>
        </w:rPr>
        <w:t xml:space="preserve">Along with commercial law and legal philosophy, his primary research focus lies on the needs of human body and Law. His research ambition is to contribute in </w:t>
      </w:r>
      <w:r w:rsidR="008A307D">
        <w:rPr>
          <w:rFonts w:ascii="Times New Roman" w:hAnsi="Times New Roman" w:cs="Times New Roman"/>
        </w:rPr>
        <w:t xml:space="preserve">the formulation of the bodily needs based legal regime that would readily and more appropriately respond to the bodily needs.  </w:t>
      </w:r>
      <w:r w:rsidR="006834DF">
        <w:rPr>
          <w:rFonts w:ascii="Times New Roman" w:hAnsi="Times New Roman" w:cs="Times New Roman"/>
        </w:rPr>
        <w:t xml:space="preserve"> </w:t>
      </w:r>
    </w:p>
    <w:p w:rsidR="00204840" w:rsidRPr="0066297C" w:rsidRDefault="00204840" w:rsidP="006F545A">
      <w:pPr>
        <w:spacing w:after="0" w:line="240" w:lineRule="auto"/>
        <w:rPr>
          <w:rFonts w:ascii="Calibri" w:hAnsi="Calibri" w:cs="Calibri"/>
        </w:rPr>
      </w:pPr>
    </w:p>
    <w:p w:rsidR="00A33E7E" w:rsidRPr="006F545A" w:rsidRDefault="0066297C" w:rsidP="006F545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F545A">
        <w:rPr>
          <w:rFonts w:ascii="Times New Roman" w:hAnsi="Times New Roman" w:cs="Times New Roman"/>
          <w:b/>
          <w:bCs/>
        </w:rPr>
        <w:t>RESEARCH &amp; PUBLICATIONS:</w:t>
      </w:r>
    </w:p>
    <w:p w:rsidR="00206F8B" w:rsidRPr="006F545A" w:rsidRDefault="00206F8B" w:rsidP="006F545A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6F545A">
        <w:rPr>
          <w:rFonts w:ascii="Times New Roman" w:hAnsi="Times New Roman" w:cs="Times New Roman"/>
          <w:b/>
          <w:i/>
        </w:rPr>
        <w:t>Articles</w:t>
      </w:r>
      <w:r w:rsidRPr="006F545A">
        <w:rPr>
          <w:rFonts w:ascii="Times New Roman" w:hAnsi="Times New Roman" w:cs="Times New Roman"/>
        </w:rPr>
        <w:t>:</w:t>
      </w:r>
    </w:p>
    <w:p w:rsidR="00206F8B" w:rsidRPr="006F545A" w:rsidRDefault="00206F8B" w:rsidP="006F545A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F545A">
        <w:rPr>
          <w:rStyle w:val="HTMLCite"/>
          <w:rFonts w:ascii="Times New Roman" w:hAnsi="Times New Roman" w:cs="Times New Roman"/>
          <w:i w:val="0"/>
        </w:rPr>
        <w:t>Liton Chandra Biswas</w:t>
      </w:r>
      <w:r w:rsidRPr="006F545A">
        <w:rPr>
          <w:rStyle w:val="HTMLCite"/>
          <w:rFonts w:ascii="Times New Roman" w:hAnsi="Times New Roman" w:cs="Times New Roman"/>
          <w:i w:val="0"/>
          <w:color w:val="222222"/>
        </w:rPr>
        <w:t xml:space="preserve"> ‘</w:t>
      </w:r>
      <w:r w:rsidRPr="006F545A">
        <w:rPr>
          <w:rFonts w:ascii="Times New Roman" w:hAnsi="Times New Roman" w:cs="Times New Roman"/>
        </w:rPr>
        <w:t xml:space="preserve">Suitability of the Underlying Theories of Zealous Advocacy in Ensuring Justice: Laying the Ground to Look beyond the Zealous Advocacy’ </w:t>
      </w:r>
      <w:r w:rsidRPr="006F545A">
        <w:rPr>
          <w:rFonts w:ascii="Times New Roman" w:hAnsi="Times New Roman" w:cs="Times New Roman"/>
          <w:i/>
        </w:rPr>
        <w:t>North Dakota Law Review</w:t>
      </w:r>
      <w:r w:rsidRPr="006F545A">
        <w:rPr>
          <w:rFonts w:ascii="Times New Roman" w:hAnsi="Times New Roman" w:cs="Times New Roman"/>
        </w:rPr>
        <w:t xml:space="preserve"> Vol 92 (1) (Autumn 2016) 61-89. </w:t>
      </w:r>
    </w:p>
    <w:p w:rsidR="00206F8B" w:rsidRPr="006F545A" w:rsidRDefault="00206F8B" w:rsidP="006F545A">
      <w:pPr>
        <w:numPr>
          <w:ilvl w:val="0"/>
          <w:numId w:val="1"/>
        </w:numPr>
        <w:spacing w:after="0" w:line="240" w:lineRule="auto"/>
        <w:jc w:val="both"/>
        <w:rPr>
          <w:rStyle w:val="HTMLCite"/>
          <w:rFonts w:ascii="Times New Roman" w:hAnsi="Times New Roman" w:cs="Times New Roman"/>
          <w:i w:val="0"/>
        </w:rPr>
      </w:pPr>
      <w:r w:rsidRPr="006F545A">
        <w:rPr>
          <w:rStyle w:val="HTMLCite"/>
          <w:rFonts w:ascii="Times New Roman" w:hAnsi="Times New Roman" w:cs="Times New Roman"/>
          <w:i w:val="0"/>
        </w:rPr>
        <w:t xml:space="preserve">Liton Chandra Biswas &amp; </w:t>
      </w:r>
      <w:proofErr w:type="spellStart"/>
      <w:r w:rsidRPr="006F545A">
        <w:rPr>
          <w:rStyle w:val="HTMLCite"/>
          <w:rFonts w:ascii="Times New Roman" w:hAnsi="Times New Roman" w:cs="Times New Roman"/>
          <w:i w:val="0"/>
        </w:rPr>
        <w:t>Dr</w:t>
      </w:r>
      <w:proofErr w:type="spellEnd"/>
      <w:r w:rsidRPr="006F545A">
        <w:rPr>
          <w:rStyle w:val="HTMLCite"/>
          <w:rFonts w:ascii="Times New Roman" w:hAnsi="Times New Roman" w:cs="Times New Roman"/>
          <w:i w:val="0"/>
        </w:rPr>
        <w:t xml:space="preserve"> </w:t>
      </w:r>
      <w:proofErr w:type="spellStart"/>
      <w:r w:rsidRPr="006F545A">
        <w:rPr>
          <w:rStyle w:val="HTMLCite"/>
          <w:rFonts w:ascii="Times New Roman" w:hAnsi="Times New Roman" w:cs="Times New Roman"/>
          <w:i w:val="0"/>
        </w:rPr>
        <w:t>Jeaul</w:t>
      </w:r>
      <w:proofErr w:type="spellEnd"/>
      <w:r w:rsidRPr="006F545A">
        <w:rPr>
          <w:rStyle w:val="HTMLCite"/>
          <w:rFonts w:ascii="Times New Roman" w:hAnsi="Times New Roman" w:cs="Times New Roman"/>
          <w:i w:val="0"/>
        </w:rPr>
        <w:t xml:space="preserve"> Hasan ‘A Critique of Reservation to Human Rights International Treaties from Theoretical and Practical Perspectives’</w:t>
      </w:r>
      <w:r w:rsidRPr="006F545A">
        <w:rPr>
          <w:rFonts w:ascii="Times New Roman" w:hAnsi="Times New Roman" w:cs="Times New Roman"/>
        </w:rPr>
        <w:t xml:space="preserve"> </w:t>
      </w:r>
      <w:r w:rsidRPr="006F545A">
        <w:rPr>
          <w:rFonts w:ascii="Times New Roman" w:hAnsi="Times New Roman" w:cs="Times New Roman"/>
          <w:i/>
        </w:rPr>
        <w:t>Stamford Journal of Law</w:t>
      </w:r>
      <w:r w:rsidRPr="006F545A">
        <w:rPr>
          <w:rFonts w:ascii="Times New Roman" w:hAnsi="Times New Roman" w:cs="Times New Roman"/>
        </w:rPr>
        <w:t xml:space="preserve"> (April, 2014) 21-41.</w:t>
      </w:r>
    </w:p>
    <w:p w:rsidR="0066297C" w:rsidRPr="006F545A" w:rsidRDefault="00206F8B" w:rsidP="006F54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F545A">
        <w:rPr>
          <w:rStyle w:val="HTMLCite"/>
          <w:rFonts w:ascii="Times New Roman" w:hAnsi="Times New Roman" w:cs="Times New Roman"/>
          <w:i w:val="0"/>
        </w:rPr>
        <w:lastRenderedPageBreak/>
        <w:t xml:space="preserve">Liton Chandra Biswas ‘Abolition of Death Penalty: A Derailed Phenomenon of the International Community’ </w:t>
      </w:r>
      <w:r w:rsidRPr="006F545A">
        <w:rPr>
          <w:rStyle w:val="HTMLCite"/>
          <w:rFonts w:ascii="Times New Roman" w:hAnsi="Times New Roman" w:cs="Times New Roman"/>
        </w:rPr>
        <w:t>Asian Academic Research Journal of Social Science and Humanities</w:t>
      </w:r>
      <w:r w:rsidRPr="006F545A">
        <w:rPr>
          <w:rStyle w:val="HTMLCite"/>
          <w:rFonts w:ascii="Times New Roman" w:hAnsi="Times New Roman" w:cs="Times New Roman"/>
          <w:i w:val="0"/>
        </w:rPr>
        <w:t xml:space="preserve"> Vol 1(22) (April, 2014) 242-260.</w:t>
      </w:r>
    </w:p>
    <w:p w:rsidR="0075085B" w:rsidRPr="006F545A" w:rsidRDefault="0075085B" w:rsidP="006F545A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6F545A">
        <w:rPr>
          <w:rFonts w:ascii="Times New Roman" w:hAnsi="Times New Roman" w:cs="Times New Roman"/>
          <w:b/>
          <w:i/>
        </w:rPr>
        <w:t>Published Research Work</w:t>
      </w:r>
      <w:r w:rsidRPr="006F545A">
        <w:rPr>
          <w:rFonts w:ascii="Times New Roman" w:hAnsi="Times New Roman" w:cs="Times New Roman"/>
          <w:b/>
        </w:rPr>
        <w:t>:</w:t>
      </w:r>
    </w:p>
    <w:p w:rsidR="0066297C" w:rsidRPr="006F545A" w:rsidRDefault="006F545A" w:rsidP="006F54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Liton Chandra Biswas &amp; Others,</w:t>
      </w:r>
      <w:r w:rsidR="0075085B" w:rsidRPr="006F545A">
        <w:rPr>
          <w:rFonts w:ascii="Times New Roman" w:hAnsi="Times New Roman" w:cs="Times New Roman"/>
        </w:rPr>
        <w:t xml:space="preserve"> ‘Security and Safety Net of Garment Workers: Need for Amendment of </w:t>
      </w:r>
      <w:proofErr w:type="spellStart"/>
      <w:r w:rsidR="0075085B" w:rsidRPr="006F545A">
        <w:rPr>
          <w:rFonts w:ascii="Times New Roman" w:hAnsi="Times New Roman" w:cs="Times New Roman"/>
        </w:rPr>
        <w:t>Labour</w:t>
      </w:r>
      <w:proofErr w:type="spellEnd"/>
      <w:r w:rsidR="0075085B" w:rsidRPr="006F545A">
        <w:rPr>
          <w:rFonts w:ascii="Times New Roman" w:hAnsi="Times New Roman" w:cs="Times New Roman"/>
        </w:rPr>
        <w:t xml:space="preserve"> Law’ </w:t>
      </w:r>
      <w:r w:rsidR="0075085B" w:rsidRPr="006F545A">
        <w:rPr>
          <w:rFonts w:ascii="Times New Roman" w:hAnsi="Times New Roman" w:cs="Times New Roman"/>
          <w:i/>
        </w:rPr>
        <w:t>National Human Rights Commission Bangladesh</w:t>
      </w:r>
      <w:r w:rsidR="0075085B" w:rsidRPr="006F545A">
        <w:rPr>
          <w:rFonts w:ascii="Times New Roman" w:hAnsi="Times New Roman" w:cs="Times New Roman"/>
        </w:rPr>
        <w:t xml:space="preserve"> (June, 2014).</w:t>
      </w:r>
    </w:p>
    <w:p w:rsidR="009E3C5F" w:rsidRPr="006F545A" w:rsidRDefault="009E3C5F" w:rsidP="006F545A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6F545A">
        <w:rPr>
          <w:rFonts w:ascii="Times New Roman" w:hAnsi="Times New Roman" w:cs="Times New Roman"/>
          <w:b/>
        </w:rPr>
        <w:t>List of Online Papers having h-index Citations:</w:t>
      </w:r>
    </w:p>
    <w:p w:rsidR="009E3C5F" w:rsidRPr="006F545A" w:rsidRDefault="009E3C5F" w:rsidP="006F54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45A">
        <w:rPr>
          <w:rFonts w:ascii="Times New Roman" w:hAnsi="Times New Roman" w:cs="Times New Roman"/>
        </w:rPr>
        <w:t>Liton Chandra Biswas, ‘A Comparative Account on the ‘Practical and Fair’</w:t>
      </w:r>
      <w:r w:rsidR="003B209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F545A">
        <w:rPr>
          <w:rFonts w:ascii="Times New Roman" w:hAnsi="Times New Roman" w:cs="Times New Roman"/>
        </w:rPr>
        <w:t xml:space="preserve">Aspects of the Vienna Convention Rules and of the English Common Law Rules on Anticipatory Breach of Contract’ (2012) </w:t>
      </w:r>
      <w:r w:rsidRPr="006F545A">
        <w:rPr>
          <w:rFonts w:ascii="Times New Roman" w:hAnsi="Times New Roman" w:cs="Times New Roman"/>
          <w:i/>
        </w:rPr>
        <w:t>Social Sciences and Research Network.</w:t>
      </w:r>
    </w:p>
    <w:p w:rsidR="009E3C5F" w:rsidRPr="00E047F6" w:rsidRDefault="009E3C5F" w:rsidP="006F545A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F545A">
        <w:rPr>
          <w:rFonts w:ascii="Times New Roman" w:hAnsi="Times New Roman" w:cs="Times New Roman"/>
        </w:rPr>
        <w:t xml:space="preserve">Liton Chandra Biswas, ‘Approach of the UK Court in Piercing Corporate Veil’ (2011) </w:t>
      </w:r>
      <w:r w:rsidRPr="006F545A">
        <w:rPr>
          <w:rFonts w:ascii="Times New Roman" w:hAnsi="Times New Roman" w:cs="Times New Roman"/>
          <w:i/>
        </w:rPr>
        <w:t>Social Sciences and Research Network</w:t>
      </w:r>
      <w:r w:rsidRPr="006F545A">
        <w:rPr>
          <w:rFonts w:ascii="Times New Roman" w:hAnsi="Times New Roman" w:cs="Times New Roman"/>
        </w:rPr>
        <w:t xml:space="preserve">. </w:t>
      </w:r>
      <w:r w:rsidRPr="00E047F6">
        <w:rPr>
          <w:b/>
        </w:rPr>
        <w:t xml:space="preserve"> </w:t>
      </w:r>
    </w:p>
    <w:p w:rsidR="0075085B" w:rsidRPr="0075085B" w:rsidRDefault="0075085B" w:rsidP="0075085B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sectPr w:rsidR="0075085B" w:rsidRPr="0075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07F"/>
    <w:multiLevelType w:val="hybridMultilevel"/>
    <w:tmpl w:val="89B684A4"/>
    <w:lvl w:ilvl="0" w:tplc="11D436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3BBD"/>
    <w:multiLevelType w:val="hybridMultilevel"/>
    <w:tmpl w:val="FD88F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47F6"/>
    <w:multiLevelType w:val="hybridMultilevel"/>
    <w:tmpl w:val="B55C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7E"/>
    <w:rsid w:val="00021DA9"/>
    <w:rsid w:val="000B5910"/>
    <w:rsid w:val="001F0D33"/>
    <w:rsid w:val="001F1866"/>
    <w:rsid w:val="00204840"/>
    <w:rsid w:val="00206F8B"/>
    <w:rsid w:val="0025746D"/>
    <w:rsid w:val="00267097"/>
    <w:rsid w:val="002B2BF6"/>
    <w:rsid w:val="002C3FB6"/>
    <w:rsid w:val="002C6B0D"/>
    <w:rsid w:val="00333F53"/>
    <w:rsid w:val="003B2093"/>
    <w:rsid w:val="00484FED"/>
    <w:rsid w:val="004E652B"/>
    <w:rsid w:val="00505428"/>
    <w:rsid w:val="00520990"/>
    <w:rsid w:val="00580BE5"/>
    <w:rsid w:val="005B5727"/>
    <w:rsid w:val="0066297C"/>
    <w:rsid w:val="006834DF"/>
    <w:rsid w:val="006A5218"/>
    <w:rsid w:val="006F545A"/>
    <w:rsid w:val="0075085B"/>
    <w:rsid w:val="00796C37"/>
    <w:rsid w:val="008A307D"/>
    <w:rsid w:val="008F4B38"/>
    <w:rsid w:val="00904055"/>
    <w:rsid w:val="009257AD"/>
    <w:rsid w:val="009E3C5F"/>
    <w:rsid w:val="00A33E7E"/>
    <w:rsid w:val="00A916A2"/>
    <w:rsid w:val="00B4132F"/>
    <w:rsid w:val="00C336A4"/>
    <w:rsid w:val="00CA4174"/>
    <w:rsid w:val="00CB6293"/>
    <w:rsid w:val="00D34883"/>
    <w:rsid w:val="00DC2EAB"/>
    <w:rsid w:val="00DE230F"/>
    <w:rsid w:val="00E14910"/>
    <w:rsid w:val="00EA64AB"/>
    <w:rsid w:val="00EB7C5C"/>
    <w:rsid w:val="00F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E3F6"/>
  <w15:chartTrackingRefBased/>
  <w15:docId w15:val="{23ADEE6F-BCD3-4693-865B-399E4B6E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link w:val="DatesCharChar"/>
    <w:rsid w:val="005B5727"/>
    <w:pPr>
      <w:spacing w:before="120" w:after="0" w:line="240" w:lineRule="auto"/>
      <w:jc w:val="right"/>
    </w:pPr>
    <w:rPr>
      <w:rFonts w:ascii="Garamond" w:eastAsia="Times New Roman" w:hAnsi="Garamond" w:cs="Times New Roman"/>
      <w:sz w:val="20"/>
      <w:szCs w:val="20"/>
    </w:rPr>
  </w:style>
  <w:style w:type="character" w:customStyle="1" w:styleId="DatesCharChar">
    <w:name w:val="Dates Char Char"/>
    <w:link w:val="Dates"/>
    <w:rsid w:val="005B5727"/>
    <w:rPr>
      <w:rFonts w:ascii="Garamond" w:eastAsia="Times New Roman" w:hAnsi="Garamond" w:cs="Times New Roman"/>
      <w:sz w:val="20"/>
      <w:szCs w:val="20"/>
    </w:rPr>
  </w:style>
  <w:style w:type="paragraph" w:customStyle="1" w:styleId="Education">
    <w:name w:val="Education"/>
    <w:basedOn w:val="Normal"/>
    <w:rsid w:val="0066297C"/>
    <w:pPr>
      <w:spacing w:before="120"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spelle">
    <w:name w:val="spelle"/>
    <w:rsid w:val="0066297C"/>
  </w:style>
  <w:style w:type="character" w:styleId="Strong">
    <w:name w:val="Strong"/>
    <w:uiPriority w:val="22"/>
    <w:qFormat/>
    <w:rsid w:val="0066297C"/>
    <w:rPr>
      <w:b/>
      <w:bCs/>
    </w:rPr>
  </w:style>
  <w:style w:type="paragraph" w:customStyle="1" w:styleId="Default">
    <w:name w:val="Default"/>
    <w:basedOn w:val="Normal"/>
    <w:rsid w:val="0066297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character" w:styleId="HTMLCite">
    <w:name w:val="HTML Cite"/>
    <w:basedOn w:val="DefaultParagraphFont"/>
    <w:uiPriority w:val="99"/>
    <w:semiHidden/>
    <w:unhideWhenUsed/>
    <w:rsid w:val="00206F8B"/>
    <w:rPr>
      <w:i/>
      <w:iCs/>
    </w:rPr>
  </w:style>
  <w:style w:type="paragraph" w:styleId="ListParagraph">
    <w:name w:val="List Paragraph"/>
    <w:basedOn w:val="Normal"/>
    <w:uiPriority w:val="34"/>
    <w:qFormat/>
    <w:rsid w:val="0075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b@iub.edu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</dc:creator>
  <cp:keywords/>
  <dc:description/>
  <cp:lastModifiedBy>Liton Chandra Biswas</cp:lastModifiedBy>
  <cp:revision>18</cp:revision>
  <dcterms:created xsi:type="dcterms:W3CDTF">2019-06-27T15:46:00Z</dcterms:created>
  <dcterms:modified xsi:type="dcterms:W3CDTF">2019-06-27T17:28:00Z</dcterms:modified>
</cp:coreProperties>
</file>